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left="5669"/>
        <w:jc w:val="left"/>
      </w:pPr>
      <w:r>
        <w:t>Jméno úřadu</w:t>
        <w:br/>
        <w:t>Jméno osoby</w:t>
        <w:br/>
        <w:t>Funkce osoby</w:t>
        <w:br/>
        <w:t>Ulice a číslo</w:t>
        <w:br/>
        <w:t>PSČ a město</w:t>
      </w:r>
    </w:p>
    <w:p>
      <w:pPr>
        <w:ind w:left="5669"/>
        <w:jc w:val="left"/>
      </w:pPr>
      <w:r>
        <w:t>Brno, 10. 1. 2018</w:t>
      </w:r>
    </w:p>
    <w:p>
      <w:pPr/>
      <w:r>
        <w:t>Oslovení,</w:t>
      </w:r>
    </w:p>
    <w:p>
      <w:pPr/>
      <w:r>
        <w:t>jako každý rok Vám zasíláme pravidelný každoroční podklad pro plánování činností na stromech ve Vaší správě. Celý plán péče jsme pro přehlednost rozdělili tak, abyste z níže uvedených podkladů bylo na první pohled vidět, jaké kontroly, zásahy a údržba by pro Vás měly být v letošním roce, případně v příštích letech prioritou.</w:t>
      </w:r>
    </w:p>
    <w:p>
      <w:pPr/>
      <w:r>
        <w:t>Rozdělení je následující:</w:t>
      </w:r>
    </w:p>
    <w:p>
      <w:pPr>
        <w:ind w:left="1134"/>
        <w:jc w:val="left"/>
      </w:pPr>
      <w:r>
        <w:t>A) Doporučené revize stromů</w:t>
        <w:br/>
        <w:t>B) Doporučená ošetření stromů</w:t>
        <w:br/>
        <w:t>C) Doporučené přístrojové testy – opakované a navržené</w:t>
        <w:br/>
        <w:t>D) Injektáže</w:t>
      </w:r>
    </w:p>
    <w:p>
      <w:pPr/>
      <w:r>
        <w:t>Ceny uvedené v nabídce jsou bez DPH (21%) a odpovídají uvedeným počtům a rozsahu činnosti. V případě změny v počtech stromů či celkovém rozsahu bude odpovídajícím způsobem modifikovaná i celková cena výkonu.</w:t>
      </w:r>
    </w:p>
    <w:p>
      <w:pPr/>
      <w:r>
        <w:t>V případě jakýchkoli dotazů mě prosím kontaktujte na telefonním čísle 734 447 977 nebo na e-mailové adrese forejt@safetrees.cz.</w:t>
      </w:r>
    </w:p>
    <w:p>
      <w:pPr/>
      <w:r>
        <w:t>Těším se na další úspěšnou spolupráci.</w:t>
      </w:r>
    </w:p>
    <w:p>
      <w:pPr>
        <w:ind w:left="5669"/>
        <w:jc w:val="left"/>
      </w:pPr>
      <w:r>
        <w:t>Ing. Jan Forejt</w:t>
        <w:br/>
        <w:t>SAFE TREES, s.r.o.</w:t>
      </w:r>
    </w:p>
    <w:p>
      <w:r>
        <w:br w:type="page"/>
      </w:r>
    </w:p>
    <w:p>
      <w:pPr/>
      <w:r>
        <w:rPr>
          <w:b/>
        </w:rPr>
        <w:t>A) Doporučené revize stromů</w:t>
      </w:r>
    </w:p>
    <w:p>
      <w:pPr/>
      <w:r>
        <w:t>Podklad navrhuje veškeré kroky tak, aby byla zajištěna adekvátní úroveň kontrol stromů pro případ eventuálních škodných událostí. Podrobnou specifikaci rozsahu jednotlivých kontrol naleznete na našich webových stránkách.</w:t>
      </w:r>
    </w:p>
    <w:tbl>
      <w:tblPr>
        <w:tblStyle w:val="TableNormal"/>
        <w:tblW w:type="auto" w:w="0"/>
        <w:jc w:val="center"/>
        <w:tblLook w:firstColumn="1" w:firstRow="1" w:lastColumn="0" w:lastRow="0" w:noHBand="0" w:noVBand="1" w:val="04A0"/>
      </w:tblPr>
      <w:tblGrid>
        <w:gridCol w:w="567"/>
        <w:gridCol w:w="3969"/>
        <w:gridCol w:w="1701"/>
        <w:gridCol w:w="1701"/>
        <w:gridCol w:w="1701"/>
      </w:tblGrid>
      <w:tr>
        <w:tc>
          <w:tcPr>
            <w:tcW w:type="dxa" w:w="2025"/>
          </w:tcPr>
          <w:p>
            <w:pPr>
              <w:jc w:val="center"/>
            </w:pPr>
            <w:r>
              <w:rPr>
                <w:b/>
              </w:rPr>
              <w:t>č.</w:t>
            </w:r>
          </w:p>
        </w:tc>
        <w:tc>
          <w:tcPr>
            <w:tcW w:type="dxa" w:w="2025"/>
          </w:tcPr>
          <w:p>
            <w:pPr>
              <w:jc w:val="center"/>
            </w:pPr>
            <w:r>
              <w:rPr>
                <w:b/>
              </w:rPr>
              <w:t>položka</w:t>
            </w:r>
          </w:p>
        </w:tc>
        <w:tc>
          <w:tcPr>
            <w:tcW w:type="dxa" w:w="2025"/>
          </w:tcPr>
          <w:p>
            <w:pPr>
              <w:jc w:val="center"/>
            </w:pPr>
            <w:r>
              <w:rPr>
                <w:b/>
              </w:rPr>
              <w:t>počet stromů / ploch</w:t>
            </w:r>
          </w:p>
        </w:tc>
        <w:tc>
          <w:tcPr>
            <w:tcW w:type="dxa" w:w="2025"/>
          </w:tcPr>
          <w:p>
            <w:pPr>
              <w:jc w:val="center"/>
            </w:pPr>
            <w:r>
              <w:rPr>
                <w:b/>
              </w:rPr>
              <w:t>JC</w:t>
            </w:r>
          </w:p>
        </w:tc>
        <w:tc>
          <w:tcPr>
            <w:tcW w:type="dxa" w:w="2025"/>
          </w:tcPr>
          <w:p>
            <w:pPr>
              <w:jc w:val="center"/>
            </w:pPr>
            <w:r>
              <w:rPr>
                <w:b/>
              </w:rPr>
              <w:t>CC</w:t>
            </w:r>
          </w:p>
        </w:tc>
      </w:tr>
      <w:tr>
        <w:tc>
          <w:tcPr>
            <w:tcW w:type="dxa" w:w="2025"/>
          </w:tcPr>
          <w:p/>
        </w:tc>
        <w:tc>
          <w:tcPr>
            <w:tcW w:type="dxa" w:w="2025"/>
          </w:tcPr>
          <w:p>
            <w:r>
              <w:t>Celkový množství stromů a skupin</w:t>
            </w:r>
          </w:p>
        </w:tc>
        <w:tc>
          <w:tcPr>
            <w:tcW w:type="dxa" w:w="2025"/>
          </w:tcPr>
          <w:p>
            <w:pPr>
              <w:jc w:val="center"/>
            </w:pPr>
            <w:r>
              <w:t>6124</w:t>
            </w:r>
          </w:p>
        </w:tc>
        <w:tc>
          <w:tcPr>
            <w:tcW w:type="dxa" w:w="2025"/>
          </w:tcPr>
          <w:p/>
        </w:tc>
        <w:tc>
          <w:tcPr>
            <w:tcW w:type="dxa" w:w="2025"/>
          </w:tcPr>
          <w:p/>
        </w:tc>
      </w:tr>
      <w:tr>
        <w:tc>
          <w:tcPr>
            <w:tcW w:type="dxa" w:w="2025"/>
          </w:tcPr>
          <w:p>
            <w:pPr>
              <w:jc w:val="center"/>
            </w:pPr>
            <w:r>
              <w:t>1</w:t>
            </w:r>
          </w:p>
        </w:tc>
        <w:tc>
          <w:tcPr>
            <w:tcW w:type="dxa" w:w="2025"/>
          </w:tcPr>
          <w:p>
            <w:r>
              <w:t>Doporučená varianta revize</w:t>
            </w:r>
          </w:p>
        </w:tc>
        <w:tc>
          <w:tcPr>
            <w:tcW w:type="dxa" w:w="2025"/>
          </w:tcPr>
          <w:p>
            <w:pPr>
              <w:jc w:val="center"/>
            </w:pPr>
            <w:r>
              <w:t>658</w:t>
            </w:r>
          </w:p>
        </w:tc>
        <w:tc>
          <w:tcPr>
            <w:tcW w:type="dxa" w:w="2025"/>
          </w:tcPr>
          <w:p>
            <w:pPr>
              <w:jc w:val="right"/>
            </w:pPr>
            <w:r>
              <w:t>98,00 Kč</w:t>
            </w:r>
          </w:p>
        </w:tc>
        <w:tc>
          <w:tcPr>
            <w:tcW w:type="dxa" w:w="2025"/>
          </w:tcPr>
          <w:p>
            <w:pPr>
              <w:jc w:val="right"/>
            </w:pPr>
            <w:r>
              <w:t>64484,00 Kč</w:t>
            </w:r>
          </w:p>
        </w:tc>
      </w:tr>
      <w:tr>
        <w:tc>
          <w:tcPr>
            <w:tcW w:type="dxa" w:w="2025"/>
          </w:tcPr>
          <w:p>
            <w:pPr>
              <w:jc w:val="center"/>
            </w:pPr>
            <w:r>
              <w:t>2</w:t>
            </w:r>
          </w:p>
        </w:tc>
        <w:tc>
          <w:tcPr>
            <w:tcW w:type="dxa" w:w="2025"/>
          </w:tcPr>
          <w:p>
            <w:r>
              <w:t>Stromy bez hodnocení</w:t>
            </w:r>
          </w:p>
        </w:tc>
        <w:tc>
          <w:tcPr>
            <w:tcW w:type="dxa" w:w="2025"/>
          </w:tcPr>
          <w:p>
            <w:pPr>
              <w:jc w:val="center"/>
            </w:pPr>
            <w:r>
              <w:t>84</w:t>
            </w:r>
          </w:p>
        </w:tc>
        <w:tc>
          <w:tcPr>
            <w:tcW w:type="dxa" w:w="2025"/>
          </w:tcPr>
          <w:p>
            <w:pPr>
              <w:jc w:val="right"/>
            </w:pPr>
            <w:r>
              <w:t>115,00 Kč</w:t>
            </w:r>
          </w:p>
        </w:tc>
        <w:tc>
          <w:tcPr>
            <w:tcW w:type="dxa" w:w="2025"/>
          </w:tcPr>
          <w:p>
            <w:pPr>
              <w:jc w:val="right"/>
            </w:pPr>
            <w:r>
              <w:t>9660,00 Kč</w:t>
            </w:r>
          </w:p>
        </w:tc>
      </w:tr>
      <w:tr>
        <w:tc>
          <w:tcPr>
            <w:tcW w:type="dxa" w:w="2025"/>
          </w:tcPr>
          <w:p>
            <w:pPr>
              <w:jc w:val="center"/>
            </w:pPr>
            <w:r>
              <w:t>3</w:t>
            </w:r>
          </w:p>
        </w:tc>
        <w:tc>
          <w:tcPr>
            <w:tcW w:type="dxa" w:w="2025"/>
          </w:tcPr>
          <w:p>
            <w:r>
              <w:t>Kontrola bezpečnostních vazeb - vizuální</w:t>
            </w:r>
          </w:p>
        </w:tc>
        <w:tc>
          <w:tcPr>
            <w:tcW w:type="dxa" w:w="2025"/>
          </w:tcPr>
          <w:p>
            <w:pPr>
              <w:jc w:val="center"/>
            </w:pPr>
            <w:r>
              <w:t>74</w:t>
            </w:r>
          </w:p>
        </w:tc>
        <w:tc>
          <w:tcPr>
            <w:tcW w:type="dxa" w:w="2025"/>
          </w:tcPr>
          <w:p>
            <w:pPr>
              <w:jc w:val="right"/>
            </w:pPr>
            <w:r>
              <w:t>200 Kč</w:t>
            </w:r>
          </w:p>
        </w:tc>
        <w:tc>
          <w:tcPr>
            <w:tcW w:type="dxa" w:w="2025"/>
          </w:tcPr>
          <w:p>
            <w:pPr>
              <w:jc w:val="right"/>
            </w:pPr>
            <w:r>
              <w:t>14800,00 Kč</w:t>
            </w:r>
          </w:p>
        </w:tc>
      </w:tr>
      <w:tr>
        <w:tc>
          <w:tcPr>
            <w:tcW w:type="dxa" w:w="2025"/>
          </w:tcPr>
          <w:p>
            <w:pPr>
              <w:jc w:val="center"/>
            </w:pPr>
            <w:r>
              <w:t>4</w:t>
            </w:r>
          </w:p>
        </w:tc>
        <w:tc>
          <w:tcPr>
            <w:tcW w:type="dxa" w:w="2025"/>
          </w:tcPr>
          <w:p>
            <w:r>
              <w:t>Kontrola bezpečnostních vazeb - z lana</w:t>
            </w:r>
          </w:p>
        </w:tc>
        <w:tc>
          <w:tcPr>
            <w:tcW w:type="dxa" w:w="2025"/>
          </w:tcPr>
          <w:p>
            <w:pPr>
              <w:jc w:val="center"/>
            </w:pPr>
            <w:r>
              <w:t>0</w:t>
            </w:r>
          </w:p>
        </w:tc>
        <w:tc>
          <w:tcPr>
            <w:tcW w:type="dxa" w:w="2025"/>
          </w:tcPr>
          <w:p>
            <w:pPr>
              <w:jc w:val="right"/>
            </w:pPr>
            <w:r>
              <w:t>1500,00 Kč</w:t>
            </w:r>
          </w:p>
        </w:tc>
        <w:tc>
          <w:tcPr>
            <w:tcW w:type="dxa" w:w="2025"/>
          </w:tcPr>
          <w:p>
            <w:pPr>
              <w:jc w:val="right"/>
            </w:pPr>
            <w:r>
              <w:t>0,00 Kč</w:t>
            </w:r>
          </w:p>
        </w:tc>
      </w:tr>
      <w:tr>
        <w:tc>
          <w:tcPr>
            <w:tcW w:type="dxa" w:w="2025"/>
          </w:tcPr>
          <w:p>
            <w:pPr>
              <w:jc w:val="center"/>
            </w:pPr>
            <w:r>
              <w:t>5</w:t>
            </w:r>
          </w:p>
        </w:tc>
        <w:tc>
          <w:tcPr>
            <w:tcW w:type="dxa" w:w="2025"/>
          </w:tcPr>
          <w:p>
            <w:r>
              <w:t>Kontrola a aktualizace ploch</w:t>
            </w:r>
          </w:p>
        </w:tc>
        <w:tc>
          <w:tcPr>
            <w:tcW w:type="dxa" w:w="2025"/>
          </w:tcPr>
          <w:p>
            <w:pPr>
              <w:jc w:val="center"/>
            </w:pPr>
            <w:r>
              <w:t>55</w:t>
            </w:r>
          </w:p>
        </w:tc>
        <w:tc>
          <w:tcPr>
            <w:tcW w:type="dxa" w:w="2025"/>
          </w:tcPr>
          <w:p>
            <w:pPr>
              <w:jc w:val="right"/>
            </w:pPr>
            <w:r>
              <w:t>500,00 Kč</w:t>
            </w:r>
          </w:p>
        </w:tc>
        <w:tc>
          <w:tcPr>
            <w:tcW w:type="dxa" w:w="2025"/>
          </w:tcPr>
          <w:p>
            <w:pPr>
              <w:jc w:val="right"/>
            </w:pPr>
            <w:r>
              <w:t>27500,00 Kč</w:t>
            </w:r>
          </w:p>
        </w:tc>
      </w:tr>
      <w:tr>
        <w:tc>
          <w:tcPr>
            <w:tcW w:type="dxa" w:w="2025"/>
          </w:tcPr>
          <w:p>
            <w:pPr>
              <w:jc w:val="center"/>
            </w:pPr>
            <w:r>
              <w:t>6</w:t>
            </w:r>
          </w:p>
        </w:tc>
        <w:tc>
          <w:tcPr>
            <w:tcW w:type="dxa" w:w="2025"/>
          </w:tcPr>
          <w:p>
            <w:r>
              <w:t>Doplnění fotodokumentace</w:t>
            </w:r>
          </w:p>
        </w:tc>
        <w:tc>
          <w:tcPr>
            <w:tcW w:type="dxa" w:w="2025"/>
          </w:tcPr>
          <w:p>
            <w:pPr>
              <w:jc w:val="center"/>
            </w:pPr>
            <w:r>
              <w:t>53</w:t>
            </w:r>
          </w:p>
        </w:tc>
        <w:tc>
          <w:tcPr>
            <w:tcW w:type="dxa" w:w="2025"/>
          </w:tcPr>
          <w:p>
            <w:pPr>
              <w:jc w:val="right"/>
            </w:pPr>
            <w:r>
              <w:t>20,00 Kč</w:t>
            </w:r>
          </w:p>
        </w:tc>
        <w:tc>
          <w:tcPr>
            <w:tcW w:type="dxa" w:w="2025"/>
          </w:tcPr>
          <w:p>
            <w:pPr>
              <w:jc w:val="right"/>
            </w:pPr>
            <w:r>
              <w:t>1060,00 Kč</w:t>
            </w:r>
          </w:p>
        </w:tc>
      </w:tr>
      <w:tr>
        <w:tc>
          <w:tcPr>
            <w:tcW w:type="dxa" w:w="2025"/>
          </w:tcPr>
          <w:p/>
        </w:tc>
        <w:tc>
          <w:tcPr>
            <w:tcW w:type="dxa" w:w="2025"/>
          </w:tcPr>
          <w:p>
            <w:r>
              <w:t>Celkový rozsah aktualizace</w:t>
            </w:r>
          </w:p>
        </w:tc>
        <w:tc>
          <w:tcPr>
            <w:tcW w:type="dxa" w:w="2025"/>
          </w:tcPr>
          <w:p/>
        </w:tc>
        <w:tc>
          <w:tcPr>
            <w:tcW w:type="dxa" w:w="2025"/>
          </w:tcPr>
          <w:p/>
        </w:tc>
        <w:tc>
          <w:tcPr>
            <w:tcW w:type="dxa" w:w="2025"/>
          </w:tcPr>
          <w:p>
            <w:pPr>
              <w:jc w:val="right"/>
            </w:pPr>
            <w:r>
              <w:t>117504,00 Kč</w:t>
            </w:r>
          </w:p>
        </w:tc>
      </w:tr>
    </w:tbl>
    <w:p>
      <w:pPr>
        <w:spacing w:before="567" w:after="113"/>
      </w:pPr>
      <w:r>
        <w:t>1/ Revize stavu již dříve hodnocených jedinců, vybraných pomocí optimalizačního nástroje - model ISAT – Integrated Systém for Assessing Trees. K revizi jsou vybrány stromy, které jsou dle statistického modelu v nejhorším stavu na nejfrekventovanějších plochách. Plán je zpracován na období 10 let, během kterého může dojít ke kompletní aktualizaci všech evidovaných stromů.</w:t>
      </w:r>
    </w:p>
    <w:p>
      <w:pPr>
        <w:spacing w:after="113"/>
      </w:pPr>
      <w:r>
        <w:t>2/ Jedná se stromy, které jsou zakreslené v mapě, ale nejsou změřené, zhodnocené a nemají navržený plán péče.</w:t>
      </w:r>
    </w:p>
    <w:p>
      <w:pPr>
        <w:spacing w:after="113"/>
      </w:pPr>
      <w:r>
        <w:t>3/ Tento typ kontrol je oprávněn  provádět i registrovaný uživatel portálu www.stromypodkontrolou.cz případně instalující arboristická (realizační) firma.</w:t>
      </w:r>
    </w:p>
    <w:p>
      <w:pPr>
        <w:spacing w:after="113"/>
      </w:pPr>
      <w:r>
        <w:t>4/ Součástí kontroly je oprava vazby, pokud je možná, naopak její výměna součástí kontroly není.</w:t>
      </w:r>
    </w:p>
    <w:p>
      <w:pPr>
        <w:spacing w:after="113"/>
      </w:pPr>
      <w:r>
        <w:t>5/ Tento typ kontrol je oprávněn  provádět i partner (majitel) stromů.</w:t>
      </w:r>
    </w:p>
    <w:p>
      <w:pPr/>
      <w:r>
        <w:t>6/ Doplnění fotodokumentace celkového stavu u stromů, kde fotodokumentace chybí.</w:t>
      </w:r>
    </w:p>
    <w:p>
      <w:r>
        <w:br w:type="page"/>
      </w:r>
    </w:p>
    <w:p>
      <w:pPr/>
      <w:r>
        <w:rPr>
          <w:b/>
        </w:rPr>
        <w:t>B) Doporučená ošetření stromů</w:t>
      </w:r>
    </w:p>
    <w:p>
      <w:pPr/>
      <w:r>
        <w:t>V níže uvedené tabulce uvádíme kompletní sumář doporučovaných ošetření stromů, vycházejících z navrženého plánu péče. Tato ošetření je vhodné provést do 3 let od provedené inventarizace.</w:t>
      </w:r>
    </w:p>
    <w:p>
      <w:pPr/>
      <w:r>
        <w:t>Odkaz na tato doporučená ošetření stromů naleznete na Vašem partnerském účtu na portále www.stromypodkontrolou.cz (SPK).</w:t>
      </w:r>
    </w:p>
    <w:tbl>
      <w:tblPr>
        <w:tblStyle w:val="TableNormal"/>
        <w:tblW w:type="auto" w:w="0"/>
        <w:jc w:val="center"/>
        <w:tblLook w:firstColumn="1" w:firstRow="1" w:lastColumn="0" w:lastRow="0" w:noHBand="0" w:noVBand="1" w:val="04A0"/>
      </w:tblPr>
      <w:tblGrid>
        <w:gridCol w:w="3118"/>
        <w:gridCol w:w="3118"/>
        <w:gridCol w:w="3118"/>
      </w:tblGrid>
      <w:tr>
        <w:tc>
          <w:tcPr>
            <w:tcW w:type="dxa" w:w="3374"/>
          </w:tcPr>
          <w:p>
            <w:pPr>
              <w:jc w:val="left"/>
            </w:pPr>
            <w:r>
              <w:rPr>
                <w:b/>
              </w:rPr>
              <w:t>druh ošetření</w:t>
            </w:r>
          </w:p>
        </w:tc>
        <w:tc>
          <w:tcPr>
            <w:tcW w:type="dxa" w:w="3374"/>
          </w:tcPr>
          <w:p>
            <w:pPr>
              <w:jc w:val="center"/>
            </w:pPr>
            <w:r>
              <w:rPr>
                <w:b/>
              </w:rPr>
              <w:t>s nejvyšší naléhavostí</w:t>
            </w:r>
          </w:p>
        </w:tc>
        <w:tc>
          <w:tcPr>
            <w:tcW w:type="dxa" w:w="3374"/>
          </w:tcPr>
          <w:p>
            <w:pPr>
              <w:jc w:val="center"/>
            </w:pPr>
            <w:r>
              <w:rPr>
                <w:b/>
              </w:rPr>
              <w:t>s vysokou naléhavostí</w:t>
            </w:r>
          </w:p>
        </w:tc>
      </w:tr>
      <w:tr>
        <w:tc>
          <w:tcPr>
            <w:tcW w:type="dxa" w:w="3374"/>
          </w:tcPr>
          <w:p>
            <w:r>
              <w:t>Kácení</w:t>
            </w:r>
          </w:p>
        </w:tc>
        <w:tc>
          <w:tcPr>
            <w:tcW w:type="dxa" w:w="3374"/>
          </w:tcPr>
          <w:p>
            <w:r>
              <w:t>8</w:t>
            </w:r>
          </w:p>
        </w:tc>
        <w:tc>
          <w:tcPr>
            <w:tcW w:type="dxa" w:w="3374"/>
          </w:tcPr>
          <w:p>
            <w:r>
              <w:t>115</w:t>
            </w:r>
          </w:p>
        </w:tc>
      </w:tr>
      <w:tr>
        <w:tc>
          <w:tcPr>
            <w:tcW w:type="dxa" w:w="3374"/>
          </w:tcPr>
          <w:p>
            <w:r>
              <w:t>Řezy</w:t>
            </w:r>
          </w:p>
        </w:tc>
        <w:tc>
          <w:tcPr>
            <w:tcW w:type="dxa" w:w="3374"/>
          </w:tcPr>
          <w:p>
            <w:r>
              <w:t>0</w:t>
            </w:r>
          </w:p>
        </w:tc>
        <w:tc>
          <w:tcPr>
            <w:tcW w:type="dxa" w:w="3374"/>
          </w:tcPr>
          <w:p>
            <w:r>
              <w:t>144</w:t>
            </w:r>
          </w:p>
        </w:tc>
      </w:tr>
      <w:tr>
        <w:tc>
          <w:tcPr>
            <w:tcW w:type="dxa" w:w="3374"/>
          </w:tcPr>
          <w:p>
            <w:r>
              <w:t>Instalace a kontrola vazeb</w:t>
            </w:r>
          </w:p>
        </w:tc>
        <w:tc>
          <w:tcPr>
            <w:tcW w:type="dxa" w:w="3374"/>
          </w:tcPr>
          <w:p>
            <w:r>
              <w:t>0</w:t>
            </w:r>
          </w:p>
        </w:tc>
        <w:tc>
          <w:tcPr>
            <w:tcW w:type="dxa" w:w="3374"/>
          </w:tcPr>
          <w:p>
            <w:r>
              <w:t>4</w:t>
            </w:r>
          </w:p>
        </w:tc>
      </w:tr>
    </w:tbl>
    <w:p>
      <w:pPr>
        <w:spacing w:before="283"/>
      </w:pPr>
      <w:r>
        <w:t>S nejvyšší naléhavostí – realizace bezodkladně</w:t>
      </w:r>
    </w:p>
    <w:p>
      <w:pPr/>
      <w:r>
        <w:t>S vysokou naléhavostí – realizace do cca. 3 let od provedené inventarizace</w:t>
      </w:r>
    </w:p>
    <w:p>
      <w:pPr/>
      <w:r>
        <w:t>Definice zásahů odpovídají oborovým standardům, konkrétně Standardu Řez stromů SPPK A02 002 a Standardu kácení stromů SPPK A02 005.</w:t>
      </w:r>
    </w:p>
    <w:p>
      <w:pPr/>
      <w:r>
        <w:t>V případě realizace prací požadujte ve vlastním zájmu odsouhlasení prací arboristickou firmou na portále SPK. Pro tyto účely můžete poskytnout dočasný přístup k databázi formou autorizace arboristy.</w:t>
      </w:r>
    </w:p>
    <w:p>
      <w:pPr/>
      <w:r>
        <w:t>V případě potřeby jsme schopni nabídnout služby technického dozoru investora při přebírání arboristických prací. Cenovou nabídku rádi poskytneme na základě dotazu.</w:t>
      </w:r>
    </w:p>
    <w:p>
      <w:r>
        <w:br w:type="page"/>
      </w:r>
    </w:p>
    <w:p>
      <w:pPr/>
      <w:r>
        <w:rPr>
          <w:b/>
        </w:rPr>
        <w:t>C) Přístrojové testy</w:t>
      </w:r>
    </w:p>
    <w:p>
      <w:pPr/>
      <w:r>
        <w:t>V případě, že nelze o stavu stromu, respektive jeho stabilitě, rozhodnout na základě vizuálního hodnocení, doporučujeme provedení přístrojového testu. V rámci inventarizace, která byla v minulosti provedena u stromů ve Vaší správě, byly přístrojové testy navrženy k provedení či opakování u následujících jedinců:</w:t>
      </w:r>
    </w:p>
    <w:tbl>
      <w:tblPr>
        <w:tblStyle w:val="TableNormal"/>
        <w:tblW w:type="auto" w:w="0"/>
        <w:jc w:val="center"/>
        <w:tblLook w:firstColumn="1" w:firstRow="1" w:lastColumn="0" w:lastRow="0" w:noHBand="0" w:noVBand="1" w:val="04A0"/>
      </w:tblPr>
      <w:tblGrid>
        <w:gridCol w:w="4819"/>
        <w:gridCol w:w="1417"/>
        <w:gridCol w:w="3118"/>
      </w:tblGrid>
      <w:tr>
        <w:tc>
          <w:tcPr>
            <w:tcW w:type="dxa" w:w="3374"/>
          </w:tcPr>
          <w:p>
            <w:pPr>
              <w:jc w:val="left"/>
            </w:pPr>
            <w:r>
              <w:rPr>
                <w:b/>
              </w:rPr>
              <w:t>Plocha</w:t>
            </w:r>
          </w:p>
        </w:tc>
        <w:tc>
          <w:tcPr>
            <w:tcW w:type="dxa" w:w="3374"/>
          </w:tcPr>
          <w:p>
            <w:pPr>
              <w:jc w:val="center"/>
            </w:pPr>
            <w:r>
              <w:rPr>
                <w:b/>
              </w:rPr>
              <w:t>Číslo stromu</w:t>
            </w:r>
          </w:p>
        </w:tc>
        <w:tc>
          <w:tcPr>
            <w:tcW w:type="dxa" w:w="3374"/>
          </w:tcPr>
          <w:p>
            <w:pPr>
              <w:jc w:val="left"/>
            </w:pPr>
            <w:r>
              <w:rPr>
                <w:b/>
              </w:rPr>
              <w:t>Typ testu</w:t>
            </w:r>
          </w:p>
        </w:tc>
      </w:tr>
      <w:tr>
        <w:tc>
          <w:tcPr>
            <w:tcW w:type="dxa" w:w="3374"/>
          </w:tcPr>
          <w:p>
            <w:r>
              <w:t>Dolní Lištná - sídliště</w:t>
            </w:r>
          </w:p>
        </w:tc>
        <w:tc>
          <w:tcPr>
            <w:tcW w:type="dxa" w:w="3374"/>
          </w:tcPr>
          <w:p>
            <w:pPr>
              <w:jc w:val="center"/>
            </w:pPr>
            <w:r>
              <w:t>53</w:t>
            </w:r>
          </w:p>
        </w:tc>
        <w:tc>
          <w:tcPr>
            <w:tcW w:type="dxa" w:w="3374"/>
          </w:tcPr>
          <w:p>
            <w:r>
              <w:t>Tahové zkoušky.</w:t>
            </w:r>
          </w:p>
        </w:tc>
      </w:tr>
      <w:tr>
        <w:tc>
          <w:tcPr>
            <w:tcW w:type="dxa" w:w="3374"/>
          </w:tcPr>
          <w:p>
            <w:r>
              <w:t>Jablunkovská</w:t>
            </w:r>
          </w:p>
        </w:tc>
        <w:tc>
          <w:tcPr>
            <w:tcW w:type="dxa" w:w="3374"/>
          </w:tcPr>
          <w:p>
            <w:pPr>
              <w:jc w:val="center"/>
            </w:pPr>
            <w:r>
              <w:t>1</w:t>
            </w:r>
          </w:p>
        </w:tc>
        <w:tc>
          <w:tcPr>
            <w:tcW w:type="dxa" w:w="3374"/>
          </w:tcPr>
          <w:p>
            <w:r>
              <w:t>tahová zkouška</w:t>
            </w:r>
          </w:p>
        </w:tc>
      </w:tr>
      <w:tr>
        <w:tc>
          <w:tcPr>
            <w:tcW w:type="dxa" w:w="3374"/>
          </w:tcPr>
          <w:p>
            <w:r>
              <w:t>Třanovského II</w:t>
            </w:r>
          </w:p>
        </w:tc>
        <w:tc>
          <w:tcPr>
            <w:tcW w:type="dxa" w:w="3374"/>
          </w:tcPr>
          <w:p>
            <w:pPr>
              <w:jc w:val="center"/>
            </w:pPr>
            <w:r>
              <w:t>2</w:t>
            </w:r>
          </w:p>
        </w:tc>
        <w:tc>
          <w:tcPr>
            <w:tcW w:type="dxa" w:w="3374"/>
          </w:tcPr>
          <w:p>
            <w:r>
              <w:t>tahová zkouška</w:t>
            </w:r>
          </w:p>
        </w:tc>
      </w:tr>
      <w:tr>
        <w:tc>
          <w:tcPr>
            <w:tcW w:type="dxa" w:w="3374"/>
          </w:tcPr>
          <w:p>
            <w:r>
              <w:t>sídl. Erbenova</w:t>
            </w:r>
          </w:p>
        </w:tc>
        <w:tc>
          <w:tcPr>
            <w:tcW w:type="dxa" w:w="3374"/>
          </w:tcPr>
          <w:p>
            <w:pPr>
              <w:jc w:val="center"/>
            </w:pPr>
            <w:r>
              <w:t>9</w:t>
            </w:r>
          </w:p>
        </w:tc>
        <w:tc>
          <w:tcPr>
            <w:tcW w:type="dxa" w:w="3374"/>
          </w:tcPr>
          <w:p>
            <w:r>
              <w:t>Tahové zkoušky.</w:t>
            </w:r>
          </w:p>
        </w:tc>
      </w:tr>
      <w:tr>
        <w:tc>
          <w:tcPr>
            <w:tcW w:type="dxa" w:w="3374"/>
          </w:tcPr>
          <w:p>
            <w:r>
              <w:t>park u hvězdárny</w:t>
            </w:r>
          </w:p>
        </w:tc>
        <w:tc>
          <w:tcPr>
            <w:tcW w:type="dxa" w:w="3374"/>
          </w:tcPr>
          <w:p>
            <w:pPr>
              <w:jc w:val="center"/>
            </w:pPr>
            <w:r>
              <w:t>42</w:t>
            </w:r>
          </w:p>
        </w:tc>
        <w:tc>
          <w:tcPr>
            <w:tcW w:type="dxa" w:w="3374"/>
          </w:tcPr>
          <w:p>
            <w:r>
              <w:t>Tahová zkouška.</w:t>
            </w:r>
          </w:p>
        </w:tc>
      </w:tr>
      <w:tr>
        <w:tc>
          <w:tcPr>
            <w:tcW w:type="dxa" w:w="3374"/>
          </w:tcPr>
          <w:p>
            <w:r>
              <w:t>park u hvězdárny</w:t>
            </w:r>
          </w:p>
        </w:tc>
        <w:tc>
          <w:tcPr>
            <w:tcW w:type="dxa" w:w="3374"/>
          </w:tcPr>
          <w:p>
            <w:pPr>
              <w:jc w:val="center"/>
            </w:pPr>
            <w:r>
              <w:t>48</w:t>
            </w:r>
          </w:p>
        </w:tc>
        <w:tc>
          <w:tcPr>
            <w:tcW w:type="dxa" w:w="3374"/>
          </w:tcPr>
          <w:p>
            <w:r>
              <w:t>Tahová zkouška.</w:t>
            </w:r>
          </w:p>
        </w:tc>
      </w:tr>
      <w:tr>
        <w:tc>
          <w:tcPr>
            <w:tcW w:type="dxa" w:w="3374"/>
          </w:tcPr>
          <w:p>
            <w:r>
              <w:t>Lidická</w:t>
            </w:r>
          </w:p>
        </w:tc>
        <w:tc>
          <w:tcPr>
            <w:tcW w:type="dxa" w:w="3374"/>
          </w:tcPr>
          <w:p>
            <w:pPr>
              <w:jc w:val="center"/>
            </w:pPr>
            <w:r>
              <w:t>382</w:t>
            </w:r>
          </w:p>
        </w:tc>
        <w:tc>
          <w:tcPr>
            <w:tcW w:type="dxa" w:w="3374"/>
          </w:tcPr>
          <w:p>
            <w:r>
              <w:t>tahová zkouška</w:t>
            </w:r>
          </w:p>
        </w:tc>
      </w:tr>
    </w:tbl>
    <w:p>
      <w:pPr>
        <w:spacing w:before="283"/>
      </w:pPr>
      <w:r>
        <w:t>Cena provedení jedné tahové zkoušky je 8.000,- Kč bez DPH. V případě Vašeho zájmu o  podrobnější informace kontaktujte prosím Ing. Jaroslava Kolaříka, Ph.D. na emailu kolarik@safetrees.cz, případně na telefonním čísle 602 742 607.</w:t>
      </w:r>
    </w:p>
    <w:p>
      <w:r>
        <w:br w:type="page"/>
      </w:r>
    </w:p>
    <w:p>
      <w:pPr/>
      <w:r>
        <w:rPr>
          <w:b/>
        </w:rPr>
        <w:t>D) Injektáže</w:t>
      </w:r>
    </w:p>
    <w:p>
      <w:pPr/>
      <w:r>
        <w:t>Stromové injektáže v současné době představují jediný systémový nástroj ochrany cenných stromů před vybranými druhy chorob a škůdců. Níže si dovolujeme Vám tento produkt stručně popsat a zároveň zasíláme i informační prospekt o možnostech metody mikroinjektáží.</w:t>
      </w:r>
    </w:p>
    <w:p>
      <w:pPr/>
      <w:r>
        <w:t xml:space="preserve">Injektáže jsou novou technologií ošetření, jejíž pomocí se do stromu vpraví účinná látka, kterou strom následně svými vodivými pletivy transportuje do všech svých orgánů. Ošetřená rostlina je tak chráněna proti poškození hmyzem, houbami či jinými chorobami (dle použité účinné látky). Na rozdíl od postřiků a dalších typů aplikací pesticidních látek odpadají problémy s možnou kontaminací okolí či narušením širších ekologických vztahů. </w:t>
      </w:r>
    </w:p>
    <w:p>
      <w:pPr/>
      <w:r>
        <w:t xml:space="preserve">Optimální doba pro provedení mikroinjektáže je v období od dubna do června, kdy aktivní transpirační proud účinnou látku snadno rozšíří do všech orgánů stromu. Doba účinnosti injektáže je obecně 2 roky. Může být ovlivněna obdobím aplikace a druhem dřeviny. </w:t>
      </w:r>
    </w:p>
    <w:p>
      <w:pPr/>
      <w:r>
        <w:t>Cena za provedení injektáží:</w:t>
      </w:r>
    </w:p>
    <w:tbl>
      <w:tblPr>
        <w:tblStyle w:val="TableNormal"/>
        <w:tblW w:type="auto" w:w="0"/>
        <w:jc w:val="center"/>
        <w:tblLook w:firstColumn="1" w:firstRow="1" w:lastColumn="0" w:lastRow="0" w:noHBand="0" w:noVBand="1" w:val="04A0"/>
      </w:tblPr>
      <w:tblGrid>
        <w:gridCol w:w="2835"/>
        <w:gridCol w:w="1417"/>
        <w:gridCol w:w="1417"/>
        <w:gridCol w:w="1417"/>
        <w:gridCol w:w="1417"/>
      </w:tblGrid>
      <w:tr>
        <w:tc>
          <w:tcPr>
            <w:tcW w:type="dxa" w:w="2025"/>
          </w:tcPr>
          <w:p>
            <w:r>
              <w:rPr>
                <w:b/>
              </w:rPr>
              <w:t>Počet stromů (ks)</w:t>
            </w:r>
          </w:p>
        </w:tc>
        <w:tc>
          <w:tcPr>
            <w:tcW w:type="dxa" w:w="2025"/>
          </w:tcPr>
          <w:p>
            <w:pPr>
              <w:jc w:val="center"/>
            </w:pPr>
            <w:r>
              <w:t>1</w:t>
            </w:r>
          </w:p>
        </w:tc>
        <w:tc>
          <w:tcPr>
            <w:tcW w:type="dxa" w:w="2025"/>
          </w:tcPr>
          <w:p>
            <w:pPr>
              <w:jc w:val="center"/>
            </w:pPr>
            <w:r>
              <w:t>2-5</w:t>
            </w:r>
          </w:p>
        </w:tc>
        <w:tc>
          <w:tcPr>
            <w:tcW w:type="dxa" w:w="2025"/>
          </w:tcPr>
          <w:p>
            <w:pPr>
              <w:jc w:val="center"/>
            </w:pPr>
            <w:r>
              <w:t>6-10</w:t>
            </w:r>
          </w:p>
        </w:tc>
        <w:tc>
          <w:tcPr>
            <w:tcW w:type="dxa" w:w="2025"/>
          </w:tcPr>
          <w:p>
            <w:pPr>
              <w:jc w:val="center"/>
            </w:pPr>
            <w:r>
              <w:t>11+</w:t>
            </w:r>
          </w:p>
        </w:tc>
      </w:tr>
      <w:tr>
        <w:tc>
          <w:tcPr>
            <w:tcW w:type="dxa" w:w="2025"/>
          </w:tcPr>
          <w:p>
            <w:r>
              <w:rPr>
                <w:b/>
              </w:rPr>
              <w:t>Cena za kus (Kč bez DPH)</w:t>
            </w:r>
          </w:p>
        </w:tc>
        <w:tc>
          <w:tcPr>
            <w:tcW w:type="dxa" w:w="2025"/>
          </w:tcPr>
          <w:p>
            <w:pPr>
              <w:jc w:val="center"/>
            </w:pPr>
            <w:r>
              <w:t>5000</w:t>
            </w:r>
          </w:p>
        </w:tc>
        <w:tc>
          <w:tcPr>
            <w:tcW w:type="dxa" w:w="2025"/>
          </w:tcPr>
          <w:p>
            <w:pPr>
              <w:jc w:val="center"/>
            </w:pPr>
            <w:r>
              <w:t>3000</w:t>
            </w:r>
          </w:p>
        </w:tc>
        <w:tc>
          <w:tcPr>
            <w:tcW w:type="dxa" w:w="2025"/>
          </w:tcPr>
          <w:p>
            <w:pPr>
              <w:jc w:val="center"/>
            </w:pPr>
            <w:r>
              <w:t>2000</w:t>
            </w:r>
          </w:p>
        </w:tc>
        <w:tc>
          <w:tcPr>
            <w:tcW w:type="dxa" w:w="2025"/>
          </w:tcPr>
          <w:p>
            <w:pPr>
              <w:jc w:val="center"/>
            </w:pPr>
            <w:r>
              <w:t>1500</w:t>
            </w:r>
          </w:p>
        </w:tc>
      </w:tr>
    </w:tbl>
    <w:p>
      <w:pPr>
        <w:spacing w:before="283"/>
      </w:pPr>
      <w:r>
        <w:t xml:space="preserve">Pro konkrétní nabídku, která může být dále individuálně upravená na základě dimenzí ošetřovaných stromů, nás prosím kontaktujte. </w:t>
      </w:r>
    </w:p>
    <w:sectPr w:rsidR="00312D5E">
      <w:headerReference w:type="default" r:id="rId6"/>
      <w:footerReference w:type="default" r:id="rId7"/>
      <w:pgSz w:w="11900" w:h="16840"/>
      <w:pgMar w:top="2552" w:right="1417" w:bottom="1417" w:left="360" w:header="426" w:footer="168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B51" w:rsidRDefault="00886B51">
      <w:pPr>
        <w:spacing w:after="0" w:line="240" w:lineRule="auto"/>
      </w:pPr>
      <w:r>
        <w:separator/>
      </w:r>
    </w:p>
  </w:endnote>
  <w:endnote w:type="continuationSeparator" w:id="0">
    <w:p w:rsidR="00886B51" w:rsidRDefault="00886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D5E" w:rsidRDefault="00312D5E">
    <w:pPr>
      <w:pStyle w:val="Zpat"/>
      <w:tabs>
        <w:tab w:val="clear" w:pos="9072"/>
      </w:tabs>
      <w:ind w:right="85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B51" w:rsidRDefault="00886B51">
      <w:pPr>
        <w:spacing w:after="0" w:line="240" w:lineRule="auto"/>
      </w:pPr>
      <w:r>
        <w:separator/>
      </w:r>
    </w:p>
  </w:footnote>
  <w:footnote w:type="continuationSeparator" w:id="0">
    <w:p w:rsidR="00886B51" w:rsidRDefault="00886B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D5E" w:rsidRDefault="00886B51">
    <w:pPr>
      <w:pStyle w:val="Zhlav"/>
      <w:tabs>
        <w:tab w:val="clear" w:pos="4536"/>
        <w:tab w:val="clear" w:pos="9072"/>
        <w:tab w:val="right" w:pos="8478"/>
      </w:tabs>
    </w:pPr>
    <w:r>
      <w:rPr>
        <w:noProof/>
      </w:rPr>
      <w:drawing>
        <wp:anchor distT="152400" distB="152400" distL="152400" distR="152400" simplePos="0" relativeHeight="251658240" behindDoc="1" locked="0" layoutInCell="1" allowOverlap="1">
          <wp:simplePos x="0" y="0"/>
          <wp:positionH relativeFrom="page">
            <wp:posOffset>437514</wp:posOffset>
          </wp:positionH>
          <wp:positionV relativeFrom="page">
            <wp:posOffset>9400540</wp:posOffset>
          </wp:positionV>
          <wp:extent cx="7115175" cy="873125"/>
          <wp:effectExtent l="0" t="0" r="0" b="0"/>
          <wp:wrapNone/>
          <wp:docPr id="1073741826" name="officeArt object" descr="KONTAKTY_DP_SAFE_TREES_2016.wmf"/>
          <wp:cNvGraphicFramePr/>
          <a:graphic xmlns:a="http://schemas.openxmlformats.org/drawingml/2006/main">
            <a:graphicData uri="http://schemas.openxmlformats.org/drawingml/2006/picture">
              <pic:pic xmlns:pic="http://schemas.openxmlformats.org/drawingml/2006/picture">
                <pic:nvPicPr>
                  <pic:cNvPr id="1073741826" name="KONTAKTY_DP_SAFE_TREES_2016.wmf" descr="KONTAKTY_DP_SAFE_TREES_2016.wmf"/>
                  <pic:cNvPicPr>
                    <a:picLocks noChangeAspect="1"/>
                  </pic:cNvPicPr>
                </pic:nvPicPr>
                <pic:blipFill>
                  <a:blip r:embed="rId1">
                    <a:extLst/>
                  </a:blip>
                  <a:stretch>
                    <a:fillRect/>
                  </a:stretch>
                </pic:blipFill>
                <pic:spPr>
                  <a:xfrm>
                    <a:off x="0" y="0"/>
                    <a:ext cx="7115175" cy="873125"/>
                  </a:xfrm>
                  <a:prstGeom prst="rect">
                    <a:avLst/>
                  </a:prstGeom>
                  <a:ln w="12700" cap="flat">
                    <a:noFill/>
                    <a:miter lim="400000"/>
                  </a:ln>
                  <a:effectLst/>
                </pic:spPr>
              </pic:pic>
            </a:graphicData>
          </a:graphic>
        </wp:anchor>
      </w:drawing>
    </w:r>
    <w:r>
      <w:rPr>
        <w:noProof/>
      </w:rPr>
      <w:drawing>
        <wp:inline distT="0" distB="0" distL="0" distR="0">
          <wp:extent cx="2717800" cy="1069003"/>
          <wp:effectExtent l="0" t="0" r="0" b="0"/>
          <wp:docPr id="1073741825" name="officeArt object" descr="Obrázek 1"/>
          <wp:cNvGraphicFramePr/>
          <a:graphic xmlns:a="http://schemas.openxmlformats.org/drawingml/2006/main">
            <a:graphicData uri="http://schemas.openxmlformats.org/drawingml/2006/picture">
              <pic:pic xmlns:pic="http://schemas.openxmlformats.org/drawingml/2006/picture">
                <pic:nvPicPr>
                  <pic:cNvPr id="1073741825" name="Obrázek 1" descr="Obrázek 1"/>
                  <pic:cNvPicPr>
                    <a:picLocks noChangeAspect="1"/>
                  </pic:cNvPicPr>
                </pic:nvPicPr>
                <pic:blipFill>
                  <a:blip r:embed="rId2">
                    <a:extLst/>
                  </a:blip>
                  <a:stretch>
                    <a:fillRect/>
                  </a:stretch>
                </pic:blipFill>
                <pic:spPr>
                  <a:xfrm>
                    <a:off x="0" y="0"/>
                    <a:ext cx="2717800" cy="1069003"/>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D5E"/>
    <w:rsid w:val="00312D5E"/>
    <w:rsid w:val="00741A58"/>
    <w:rsid w:val="00886B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0836CF-A70A-4087-BFF4-9A99ECDEE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pacing w:after="200" w:line="276" w:lineRule="auto"/>
    </w:pPr>
    <w:rPr>
      <w:rFonts w:ascii="Calibri" w:eastAsia="Calibri" w:hAnsi="Calibri" w:cs="Calibri"/>
      <w:color w:val="000000"/>
      <w:sz w:val="22"/>
      <w:szCs w:val="22"/>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Zhlav">
    <w:name w:val="header"/>
    <w:pPr>
      <w:tabs>
        <w:tab w:val="center" w:pos="4536"/>
        <w:tab w:val="right" w:pos="9072"/>
      </w:tabs>
    </w:pPr>
    <w:rPr>
      <w:rFonts w:ascii="Calibri" w:eastAsia="Calibri" w:hAnsi="Calibri" w:cs="Calibri"/>
      <w:color w:val="000000"/>
      <w:sz w:val="22"/>
      <w:szCs w:val="22"/>
      <w:u w:color="000000"/>
    </w:rPr>
  </w:style>
  <w:style w:type="paragraph" w:styleId="Zpat">
    <w:name w:val="footer"/>
    <w:pPr>
      <w:tabs>
        <w:tab w:val="center" w:pos="4536"/>
        <w:tab w:val="right" w:pos="9072"/>
      </w:tabs>
    </w:pPr>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ntTable" Target="fontTable.xml"/><Relationship Id="rId7" Type="http://schemas.openxmlformats.org/officeDocument/2006/relationships/footer" Target="footer1.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Motiv systém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ystému Office">
      <a:majorFont>
        <a:latin typeface="Helvetica Neue"/>
        <a:ea typeface="Helvetica Neue"/>
        <a:cs typeface="Helvetica Neue"/>
      </a:majorFont>
      <a:minorFont>
        <a:latin typeface="Helvetica Neue"/>
        <a:ea typeface="Helvetica Neue"/>
        <a:cs typeface="Helvetica Neue"/>
      </a:minorFont>
    </a:fontScheme>
    <a:fmtScheme name="Motiv systém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0</Characters>
  <Application>Microsoft Office Word</Application>
  <DocSecurity>0</DocSecurity>
  <Lines>0</Lines>
  <Paragraphs>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Markéta</dc:creator>
  <cp:lastModifiedBy>Markéta Kolaříková</cp:lastModifiedBy>
  <cp:revision>2</cp:revision>
  <dcterms:created xsi:type="dcterms:W3CDTF">2018-02-28T14:12:00Z</dcterms:created>
  <dcterms:modified xsi:type="dcterms:W3CDTF">2018-02-28T14:12:00Z</dcterms:modified>
</cp:coreProperties>
</file>